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C8" w:rsidRDefault="006945C8" w:rsidP="0075711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6945C8">
        <w:rPr>
          <w:rFonts w:ascii="Arial" w:hAnsi="Arial" w:cs="Arial"/>
          <w:bCs/>
          <w:spacing w:val="-3"/>
          <w:sz w:val="22"/>
          <w:szCs w:val="22"/>
        </w:rPr>
        <w:t xml:space="preserve">The Government has committed to taking action to address alcohol-related harm in and around Queensland’s licensed venues. </w:t>
      </w:r>
    </w:p>
    <w:p w:rsidR="006945C8" w:rsidRDefault="002C291C" w:rsidP="0075711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To achieve this the Government is implementing</w:t>
      </w:r>
      <w:r w:rsidR="006945C8" w:rsidRPr="006945C8">
        <w:rPr>
          <w:rFonts w:ascii="Arial" w:hAnsi="Arial" w:cs="Arial"/>
          <w:bCs/>
          <w:spacing w:val="-3"/>
          <w:sz w:val="22"/>
          <w:szCs w:val="22"/>
        </w:rPr>
        <w:t xml:space="preserve"> a comprehensive policy framework to tackle alcohol-fuelled violence (the Policy), based on evidence and best-practice approaches. </w:t>
      </w:r>
      <w:r w:rsidRPr="006945C8">
        <w:rPr>
          <w:rFonts w:ascii="Arial" w:hAnsi="Arial" w:cs="Arial"/>
          <w:bCs/>
          <w:spacing w:val="-3"/>
          <w:sz w:val="22"/>
          <w:szCs w:val="22"/>
        </w:rPr>
        <w:t>Th</w:t>
      </w:r>
      <w:r>
        <w:rPr>
          <w:rFonts w:ascii="Arial" w:hAnsi="Arial" w:cs="Arial"/>
          <w:bCs/>
          <w:spacing w:val="-3"/>
          <w:sz w:val="22"/>
          <w:szCs w:val="22"/>
        </w:rPr>
        <w:t>is</w:t>
      </w:r>
      <w:r w:rsidRPr="006945C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945C8" w:rsidRPr="006945C8">
        <w:rPr>
          <w:rFonts w:ascii="Arial" w:hAnsi="Arial" w:cs="Arial"/>
          <w:bCs/>
          <w:spacing w:val="-3"/>
          <w:sz w:val="22"/>
          <w:szCs w:val="22"/>
        </w:rPr>
        <w:t>Policy includes both legislative and non-legislative elements, and also provides for the continuation, amendment or discontinuation of initiatives that are already in operation.</w:t>
      </w:r>
    </w:p>
    <w:p w:rsidR="006945C8" w:rsidRDefault="006945C8" w:rsidP="0019133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BE4F9F">
        <w:rPr>
          <w:rFonts w:ascii="Arial" w:hAnsi="Arial" w:cs="Arial"/>
          <w:bCs/>
          <w:spacing w:val="-3"/>
          <w:sz w:val="22"/>
          <w:szCs w:val="22"/>
        </w:rPr>
        <w:t>Tackling Alcohol-</w:t>
      </w:r>
      <w:r w:rsidRPr="00191336">
        <w:rPr>
          <w:rFonts w:ascii="Arial" w:hAnsi="Arial" w:cs="Arial"/>
          <w:bCs/>
          <w:spacing w:val="-3"/>
          <w:sz w:val="22"/>
          <w:szCs w:val="22"/>
        </w:rPr>
        <w:t>Fuelled Violence Legislation Amendment Bill 2015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4547F0">
        <w:rPr>
          <w:rFonts w:ascii="Arial" w:hAnsi="Arial" w:cs="Arial"/>
          <w:bCs/>
          <w:spacing w:val="-3"/>
          <w:sz w:val="22"/>
          <w:szCs w:val="22"/>
        </w:rPr>
        <w:t xml:space="preserve">(the Bill) </w:t>
      </w:r>
      <w:r>
        <w:rPr>
          <w:rFonts w:ascii="Arial" w:hAnsi="Arial" w:cs="Arial"/>
          <w:bCs/>
          <w:spacing w:val="-3"/>
          <w:sz w:val="22"/>
          <w:szCs w:val="22"/>
        </w:rPr>
        <w:t>will</w:t>
      </w:r>
      <w:r w:rsidRPr="00191336">
        <w:rPr>
          <w:rFonts w:ascii="Arial" w:hAnsi="Arial" w:cs="Arial"/>
          <w:bCs/>
          <w:spacing w:val="-3"/>
          <w:sz w:val="22"/>
          <w:szCs w:val="22"/>
        </w:rPr>
        <w:t xml:space="preserve"> progress a number of legislative reforms that form part of the Policy.</w:t>
      </w:r>
      <w:r w:rsidRPr="006945C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The explanatory notes provide detail as to the nature of the measures being implemented, and how these measures will address alcohol-fuelled violence.</w:t>
      </w:r>
    </w:p>
    <w:p w:rsidR="006945C8" w:rsidRDefault="006945C8" w:rsidP="0019133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945C8">
        <w:rPr>
          <w:rFonts w:ascii="Arial" w:hAnsi="Arial" w:cs="Arial"/>
          <w:bCs/>
          <w:spacing w:val="-3"/>
          <w:sz w:val="22"/>
          <w:szCs w:val="22"/>
        </w:rPr>
        <w:t>The Bill also progresses a number of legislative reforms that were included in the ‘Liquor and Fair Trading Legislation (Red Tape Reduction) Amendment Bill 2015’ (</w:t>
      </w:r>
      <w:r w:rsidR="00BE4F9F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6945C8">
        <w:rPr>
          <w:rFonts w:ascii="Arial" w:hAnsi="Arial" w:cs="Arial"/>
          <w:bCs/>
          <w:spacing w:val="-3"/>
          <w:sz w:val="22"/>
          <w:szCs w:val="22"/>
        </w:rPr>
        <w:t xml:space="preserve">Private Members Bill), </w:t>
      </w:r>
      <w:r w:rsidR="004547F0" w:rsidRPr="004547F0">
        <w:rPr>
          <w:rFonts w:ascii="Arial" w:hAnsi="Arial" w:cs="Arial"/>
          <w:bCs/>
          <w:spacing w:val="-3"/>
          <w:sz w:val="22"/>
          <w:szCs w:val="22"/>
        </w:rPr>
        <w:t>which was introduced by Mr Ian Walker MP in May 2015</w:t>
      </w:r>
      <w:r w:rsidR="004547F0">
        <w:rPr>
          <w:rFonts w:ascii="Arial" w:hAnsi="Arial" w:cs="Arial"/>
          <w:bCs/>
          <w:spacing w:val="-3"/>
          <w:sz w:val="22"/>
          <w:szCs w:val="22"/>
        </w:rPr>
        <w:t>. The Bill will</w:t>
      </w:r>
      <w:r w:rsidR="004547F0" w:rsidRPr="00191336">
        <w:rPr>
          <w:rFonts w:ascii="Arial" w:hAnsi="Arial" w:cs="Arial"/>
          <w:bCs/>
          <w:spacing w:val="-3"/>
          <w:sz w:val="22"/>
          <w:szCs w:val="22"/>
        </w:rPr>
        <w:t xml:space="preserve"> progress reform</w:t>
      </w:r>
      <w:r w:rsidR="00BE4F9F">
        <w:rPr>
          <w:rFonts w:ascii="Arial" w:hAnsi="Arial" w:cs="Arial"/>
          <w:bCs/>
          <w:spacing w:val="-3"/>
          <w:sz w:val="22"/>
          <w:szCs w:val="22"/>
        </w:rPr>
        <w:t>s from the Private Members Bill</w:t>
      </w:r>
      <w:r w:rsidR="004547F0" w:rsidRPr="00191336">
        <w:rPr>
          <w:rFonts w:ascii="Arial" w:hAnsi="Arial" w:cs="Arial"/>
          <w:bCs/>
          <w:spacing w:val="-3"/>
          <w:sz w:val="22"/>
          <w:szCs w:val="22"/>
        </w:rPr>
        <w:t xml:space="preserve"> which are consistent with the </w:t>
      </w:r>
      <w:r w:rsidR="002C291C">
        <w:rPr>
          <w:rFonts w:ascii="Arial" w:hAnsi="Arial" w:cs="Arial"/>
          <w:bCs/>
          <w:spacing w:val="-3"/>
          <w:sz w:val="22"/>
          <w:szCs w:val="22"/>
        </w:rPr>
        <w:t xml:space="preserve">Government’s </w:t>
      </w:r>
      <w:r w:rsidR="004547F0" w:rsidRPr="00191336">
        <w:rPr>
          <w:rFonts w:ascii="Arial" w:hAnsi="Arial" w:cs="Arial"/>
          <w:bCs/>
          <w:spacing w:val="-3"/>
          <w:sz w:val="22"/>
          <w:szCs w:val="22"/>
        </w:rPr>
        <w:t>Policy</w:t>
      </w:r>
      <w:r w:rsidR="00BE4F9F">
        <w:rPr>
          <w:rFonts w:ascii="Arial" w:hAnsi="Arial" w:cs="Arial"/>
          <w:bCs/>
          <w:spacing w:val="-3"/>
          <w:sz w:val="22"/>
          <w:szCs w:val="22"/>
        </w:rPr>
        <w:t>,</w:t>
      </w:r>
      <w:r w:rsidR="002C291C">
        <w:rPr>
          <w:rFonts w:ascii="Arial" w:hAnsi="Arial" w:cs="Arial"/>
          <w:bCs/>
          <w:spacing w:val="-3"/>
          <w:sz w:val="22"/>
          <w:szCs w:val="22"/>
        </w:rPr>
        <w:t xml:space="preserve"> including operationally driven liquor reforms necessary for enhanced enforcement and compliance and administrative reforms to ensure the legislation operates effectively.  </w:t>
      </w:r>
    </w:p>
    <w:p w:rsidR="006945C8" w:rsidRPr="00191336" w:rsidRDefault="004547F0" w:rsidP="0019133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547F0">
        <w:rPr>
          <w:rFonts w:ascii="Arial" w:hAnsi="Arial" w:cs="Arial"/>
          <w:bCs/>
          <w:spacing w:val="-3"/>
          <w:sz w:val="22"/>
          <w:szCs w:val="22"/>
        </w:rPr>
        <w:t xml:space="preserve">Although not related to alcohol-fuelled violence, the Bill also includes an amendment from the Private Members Bill to repeal section 96 of the </w:t>
      </w:r>
      <w:r w:rsidRPr="00191336">
        <w:rPr>
          <w:rFonts w:ascii="Arial" w:hAnsi="Arial" w:cs="Arial"/>
          <w:bCs/>
          <w:i/>
          <w:spacing w:val="-3"/>
          <w:sz w:val="22"/>
          <w:szCs w:val="22"/>
        </w:rPr>
        <w:t>Fair Trading Act 1989</w:t>
      </w:r>
      <w:r w:rsidRPr="004547F0">
        <w:rPr>
          <w:rFonts w:ascii="Arial" w:hAnsi="Arial" w:cs="Arial"/>
          <w:bCs/>
          <w:spacing w:val="-3"/>
          <w:sz w:val="22"/>
          <w:szCs w:val="22"/>
        </w:rPr>
        <w:t xml:space="preserve"> in relation to directors’ liability. This amendment will ensure consistency across Queensland statutes dealing with directors’ liability.</w:t>
      </w:r>
    </w:p>
    <w:p w:rsidR="0075711A" w:rsidRPr="00F61376" w:rsidRDefault="0075711A" w:rsidP="0075711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the introduction of the </w:t>
      </w:r>
      <w:r w:rsidR="00BE4F9F">
        <w:rPr>
          <w:rFonts w:ascii="Arial" w:hAnsi="Arial" w:cs="Arial"/>
          <w:bCs/>
          <w:spacing w:val="-3"/>
          <w:sz w:val="22"/>
          <w:szCs w:val="22"/>
        </w:rPr>
        <w:t>Tackling Alcohol-</w:t>
      </w:r>
      <w:r w:rsidR="00C90AD4" w:rsidRPr="00191336">
        <w:rPr>
          <w:rFonts w:ascii="Arial" w:hAnsi="Arial" w:cs="Arial"/>
          <w:bCs/>
          <w:spacing w:val="-3"/>
          <w:sz w:val="22"/>
          <w:szCs w:val="22"/>
        </w:rPr>
        <w:t>Fuelled Violence Legislation Amendment Bill 2015</w:t>
      </w:r>
      <w:r w:rsidR="00C90AD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into the Legislative Assembly.</w:t>
      </w:r>
    </w:p>
    <w:p w:rsidR="0075711A" w:rsidRPr="00BE4F9F" w:rsidRDefault="0075711A" w:rsidP="00BE4F9F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 w:rsidRPr="006904BB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75711A" w:rsidRDefault="000C415D" w:rsidP="00BE4F9F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7" w:history="1">
        <w:r w:rsidR="004547F0" w:rsidRPr="000D750F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Tackling</w:t>
        </w:r>
        <w:r w:rsidR="00BE4F9F" w:rsidRPr="000D750F">
          <w:rPr>
            <w:rStyle w:val="Hyperlink"/>
            <w:rFonts w:ascii="Arial" w:hAnsi="Arial" w:cs="Arial"/>
            <w:sz w:val="22"/>
            <w:szCs w:val="22"/>
          </w:rPr>
          <w:t xml:space="preserve"> Alcohol-</w:t>
        </w:r>
        <w:r w:rsidR="004547F0" w:rsidRPr="000D750F">
          <w:rPr>
            <w:rStyle w:val="Hyperlink"/>
            <w:rFonts w:ascii="Arial" w:hAnsi="Arial" w:cs="Arial"/>
            <w:sz w:val="22"/>
            <w:szCs w:val="22"/>
          </w:rPr>
          <w:t>Fuelled Violence Legislation Amendment Bill 2015</w:t>
        </w:r>
      </w:hyperlink>
    </w:p>
    <w:p w:rsidR="005B033B" w:rsidRPr="00BE4F9F" w:rsidRDefault="000C415D" w:rsidP="00BE4F9F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8" w:history="1">
        <w:r w:rsidR="0075711A" w:rsidRPr="000D750F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5B033B" w:rsidRPr="00BE4F9F" w:rsidSect="005B1338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65A" w:rsidRDefault="0091765A">
      <w:r>
        <w:separator/>
      </w:r>
    </w:p>
  </w:endnote>
  <w:endnote w:type="continuationSeparator" w:id="0">
    <w:p w:rsidR="0091765A" w:rsidRDefault="0091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65A" w:rsidRDefault="0091765A">
      <w:r>
        <w:separator/>
      </w:r>
    </w:p>
  </w:footnote>
  <w:footnote w:type="continuationSeparator" w:id="0">
    <w:p w:rsidR="0091765A" w:rsidRDefault="00917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AD4" w:rsidRPr="00937A4A" w:rsidRDefault="00C90AD4" w:rsidP="00C90AD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C90AD4" w:rsidRPr="00937A4A" w:rsidRDefault="00C90AD4" w:rsidP="00C90AD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C90AD4" w:rsidRPr="00937A4A" w:rsidRDefault="00C90AD4" w:rsidP="00C90AD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November 2015</w:t>
    </w:r>
  </w:p>
  <w:p w:rsidR="006945C8" w:rsidRDefault="00BE4F9F" w:rsidP="0065269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Tackling Alcohol-F</w:t>
    </w:r>
    <w:r w:rsidR="006945C8" w:rsidRPr="006945C8">
      <w:rPr>
        <w:rFonts w:ascii="Arial" w:hAnsi="Arial" w:cs="Arial"/>
        <w:b/>
        <w:sz w:val="22"/>
        <w:szCs w:val="22"/>
        <w:u w:val="single"/>
      </w:rPr>
      <w:t>uelled Violence Legislation Amendment Bill 2015</w:t>
    </w:r>
  </w:p>
  <w:p w:rsidR="006671B5" w:rsidRPr="003E5853" w:rsidRDefault="006671B5" w:rsidP="0065269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E5853">
      <w:rPr>
        <w:rFonts w:ascii="Arial" w:hAnsi="Arial" w:cs="Arial"/>
        <w:b/>
        <w:sz w:val="22"/>
        <w:szCs w:val="22"/>
        <w:u w:val="single"/>
      </w:rPr>
      <w:t>Attorney-General and Minister for Justice</w:t>
    </w:r>
    <w:r w:rsidR="00217A0A">
      <w:rPr>
        <w:rFonts w:ascii="Arial" w:hAnsi="Arial" w:cs="Arial"/>
        <w:b/>
        <w:sz w:val="22"/>
        <w:szCs w:val="22"/>
        <w:u w:val="single"/>
      </w:rPr>
      <w:t xml:space="preserve"> and Minister for Training and Skills</w:t>
    </w:r>
  </w:p>
  <w:p w:rsidR="006671B5" w:rsidRPr="003E5853" w:rsidRDefault="006671B5" w:rsidP="0065269F">
    <w:pPr>
      <w:pStyle w:val="Header"/>
      <w:pBdr>
        <w:bottom w:val="single" w:sz="4" w:space="1" w:color="auto"/>
      </w:pBdr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5F2B"/>
    <w:multiLevelType w:val="hybridMultilevel"/>
    <w:tmpl w:val="5FFA63BA"/>
    <w:lvl w:ilvl="0" w:tplc="75ACD2FC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304D8"/>
    <w:multiLevelType w:val="hybridMultilevel"/>
    <w:tmpl w:val="F2DA19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2"/>
        <w:szCs w:val="22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F176F87"/>
    <w:multiLevelType w:val="hybridMultilevel"/>
    <w:tmpl w:val="2A78A99A"/>
    <w:lvl w:ilvl="0" w:tplc="D1949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2"/>
        <w:szCs w:val="22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1A"/>
    <w:rsid w:val="00072E93"/>
    <w:rsid w:val="00084906"/>
    <w:rsid w:val="000A0878"/>
    <w:rsid w:val="000B184F"/>
    <w:rsid w:val="000B4528"/>
    <w:rsid w:val="000C415D"/>
    <w:rsid w:val="000D750F"/>
    <w:rsid w:val="00191336"/>
    <w:rsid w:val="00217A0A"/>
    <w:rsid w:val="002C291C"/>
    <w:rsid w:val="002F7C62"/>
    <w:rsid w:val="00387905"/>
    <w:rsid w:val="003B6170"/>
    <w:rsid w:val="003D1F7E"/>
    <w:rsid w:val="00400DF5"/>
    <w:rsid w:val="00442BD3"/>
    <w:rsid w:val="004547F0"/>
    <w:rsid w:val="005B033B"/>
    <w:rsid w:val="005B1338"/>
    <w:rsid w:val="005C0382"/>
    <w:rsid w:val="00630629"/>
    <w:rsid w:val="0065269F"/>
    <w:rsid w:val="006671B5"/>
    <w:rsid w:val="006748B7"/>
    <w:rsid w:val="006945C8"/>
    <w:rsid w:val="006C2EE2"/>
    <w:rsid w:val="00707AEA"/>
    <w:rsid w:val="0075711A"/>
    <w:rsid w:val="007A784C"/>
    <w:rsid w:val="007C4E01"/>
    <w:rsid w:val="007D6204"/>
    <w:rsid w:val="00827DFD"/>
    <w:rsid w:val="00857447"/>
    <w:rsid w:val="008744A1"/>
    <w:rsid w:val="0091765A"/>
    <w:rsid w:val="009336E6"/>
    <w:rsid w:val="009672C6"/>
    <w:rsid w:val="009A2152"/>
    <w:rsid w:val="00A32035"/>
    <w:rsid w:val="00AC0887"/>
    <w:rsid w:val="00B42C5B"/>
    <w:rsid w:val="00BE4F9F"/>
    <w:rsid w:val="00C135E6"/>
    <w:rsid w:val="00C90AD4"/>
    <w:rsid w:val="00CA2C86"/>
    <w:rsid w:val="00CB06B2"/>
    <w:rsid w:val="00CB74FF"/>
    <w:rsid w:val="00CE096F"/>
    <w:rsid w:val="00D82B54"/>
    <w:rsid w:val="00D97EA5"/>
    <w:rsid w:val="00DF393A"/>
    <w:rsid w:val="00E30F65"/>
    <w:rsid w:val="00FF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11A"/>
    <w:rPr>
      <w:rFonts w:eastAsia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5711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75711A"/>
    <w:rPr>
      <w:rFonts w:eastAsia="Calibri"/>
      <w:color w:val="000000"/>
      <w:sz w:val="24"/>
      <w:lang w:val="en-AU" w:eastAsia="en-AU" w:bidi="ar-SA"/>
    </w:rPr>
  </w:style>
  <w:style w:type="paragraph" w:styleId="Footer">
    <w:name w:val="footer"/>
    <w:basedOn w:val="Normal"/>
    <w:rsid w:val="0075711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F7C62"/>
    <w:rPr>
      <w:rFonts w:ascii="Tahoma" w:hAnsi="Tahoma" w:cs="Tahoma"/>
      <w:sz w:val="16"/>
      <w:szCs w:val="16"/>
    </w:rPr>
  </w:style>
  <w:style w:type="character" w:styleId="Hyperlink">
    <w:name w:val="Hyperlink"/>
    <w:rsid w:val="000D75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1614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1874</CharactersWithSpaces>
  <SharedDoc>false</SharedDoc>
  <HyperlinkBase>https://www.cabinet.qld.gov.au/documents/2015/Nov/TAFVBill/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/>
  <dc:description/>
  <cp:lastModifiedBy/>
  <cp:revision>2</cp:revision>
  <cp:lastPrinted>2015-11-05T23:13:00Z</cp:lastPrinted>
  <dcterms:created xsi:type="dcterms:W3CDTF">2017-10-25T01:34:00Z</dcterms:created>
  <dcterms:modified xsi:type="dcterms:W3CDTF">2018-03-06T01:31:00Z</dcterms:modified>
  <cp:category>Legislation,Alcohol,Liquor,Violence,Fair_Trading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-412696899</vt:i4>
  </property>
  <property fmtid="{D5CDD505-2E9C-101B-9397-08002B2CF9AE}" pid="3" name="_NewReviewCycle">
    <vt:lpwstr/>
  </property>
  <property fmtid="{D5CDD505-2E9C-101B-9397-08002B2CF9AE}" pid="4" name="_PreviousAdHocReviewCycleID">
    <vt:i4>204588407</vt:i4>
  </property>
  <property fmtid="{D5CDD505-2E9C-101B-9397-08002B2CF9AE}" pid="5" name="_ReviewingToolsShownOnce">
    <vt:lpwstr/>
  </property>
</Properties>
</file>